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1" w:type="dxa"/>
        <w:tblInd w:w="-465" w:type="dxa"/>
        <w:tblLook w:val="04A0" w:firstRow="1" w:lastRow="0" w:firstColumn="1" w:lastColumn="0" w:noHBand="0" w:noVBand="1"/>
      </w:tblPr>
      <w:tblGrid>
        <w:gridCol w:w="4770"/>
        <w:gridCol w:w="5671"/>
      </w:tblGrid>
      <w:tr w:rsidR="002F33E9" w:rsidRPr="00490A24" w14:paraId="5B5DE21A" w14:textId="77777777" w:rsidTr="002F33E9">
        <w:trPr>
          <w:trHeight w:val="20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E19D57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>Technical Evaluation Matrix</w:t>
            </w:r>
          </w:p>
        </w:tc>
      </w:tr>
      <w:tr w:rsidR="002F33E9" w:rsidRPr="00490A24" w14:paraId="728EADD8" w14:textId="77777777" w:rsidTr="002F33E9">
        <w:trPr>
          <w:trHeight w:val="2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B7F4EF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>Evaluation Factors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3C4779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>Max Scores Allocated</w:t>
            </w:r>
          </w:p>
        </w:tc>
      </w:tr>
      <w:tr w:rsidR="002F33E9" w:rsidRPr="00490A24" w14:paraId="0D4F8189" w14:textId="77777777" w:rsidTr="002F33E9">
        <w:trPr>
          <w:trHeight w:val="20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B01CD8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 xml:space="preserve">Mandatory </w:t>
            </w:r>
          </w:p>
        </w:tc>
      </w:tr>
      <w:tr w:rsidR="002F33E9" w:rsidRPr="00490A24" w14:paraId="21E9161B" w14:textId="77777777" w:rsidTr="002F33E9">
        <w:trPr>
          <w:trHeight w:val="2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9EF" w14:textId="77777777" w:rsidR="002F33E9" w:rsidRPr="00ED1F3C" w:rsidRDefault="002F33E9" w:rsidP="004C7E93">
            <w:pPr>
              <w:rPr>
                <w:sz w:val="16"/>
                <w:szCs w:val="16"/>
              </w:rPr>
            </w:pPr>
            <w:r w:rsidRPr="00ED1F3C">
              <w:rPr>
                <w:sz w:val="16"/>
                <w:szCs w:val="16"/>
              </w:rPr>
              <w:t xml:space="preserve">Valid Registration Documents / Certificate issued by the Ministry of Justice (Commercial Registration Department) Sudan. </w:t>
            </w:r>
          </w:p>
          <w:p w14:paraId="476EF342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83A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>PASS/FAIL</w:t>
            </w:r>
            <w:r w:rsidRPr="00490A24">
              <w:rPr>
                <w:b/>
                <w:bCs/>
                <w:sz w:val="16"/>
                <w:szCs w:val="16"/>
              </w:rPr>
              <w:br/>
            </w:r>
            <w:r w:rsidRPr="00490A24">
              <w:rPr>
                <w:i/>
                <w:iCs/>
                <w:sz w:val="16"/>
                <w:szCs w:val="16"/>
              </w:rPr>
              <w:t>(failing to meet a single mandatory criterion will result in disqualification of the contractor from further technical evaluation)</w:t>
            </w:r>
          </w:p>
        </w:tc>
      </w:tr>
      <w:tr w:rsidR="002F33E9" w:rsidRPr="00490A24" w14:paraId="19C938E6" w14:textId="77777777" w:rsidTr="002F33E9">
        <w:trPr>
          <w:trHeight w:val="2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C3A8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Company Age Not less than 3 years from the date of registration / incorporation </w:t>
            </w: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034" w14:textId="77777777" w:rsidR="002F33E9" w:rsidRPr="00490A24" w:rsidRDefault="002F33E9" w:rsidP="004C7E9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33E9" w:rsidRPr="00490A24" w14:paraId="6E8C04A2" w14:textId="77777777" w:rsidTr="002F33E9">
        <w:trPr>
          <w:trHeight w:val="2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743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Bidder confirms the acceptance of the following in writing and will be required to strictly adhere </w:t>
            </w:r>
            <w:proofErr w:type="gramStart"/>
            <w:r w:rsidRPr="00490A24">
              <w:rPr>
                <w:sz w:val="16"/>
                <w:szCs w:val="16"/>
              </w:rPr>
              <w:t>to;</w:t>
            </w:r>
            <w:proofErr w:type="gramEnd"/>
            <w:r w:rsidRPr="00490A24">
              <w:rPr>
                <w:sz w:val="16"/>
                <w:szCs w:val="16"/>
              </w:rPr>
              <w:t xml:space="preserve"> for the purpose the proposed contract.  </w:t>
            </w:r>
            <w:r w:rsidRPr="00490A24">
              <w:rPr>
                <w:sz w:val="16"/>
                <w:szCs w:val="16"/>
              </w:rPr>
              <w:br/>
            </w:r>
            <w:r w:rsidRPr="001F61AF">
              <w:rPr>
                <w:sz w:val="16"/>
                <w:szCs w:val="16"/>
              </w:rPr>
              <w:t xml:space="preserve">UNHCR General Conditions of Contracts for Civil works (October </w:t>
            </w:r>
            <w:r w:rsidRPr="002F33E9">
              <w:rPr>
                <w:sz w:val="16"/>
                <w:szCs w:val="16"/>
              </w:rPr>
              <w:t>2000</w:t>
            </w:r>
            <w:r w:rsidRPr="002F33E9">
              <w:rPr>
                <w:color w:val="000000" w:themeColor="text1"/>
                <w:sz w:val="16"/>
                <w:szCs w:val="16"/>
              </w:rPr>
              <w:t>) (Annex G)</w:t>
            </w: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B8AA" w14:textId="77777777" w:rsidR="002F33E9" w:rsidRPr="00490A24" w:rsidRDefault="002F33E9" w:rsidP="004C7E9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33E9" w:rsidRPr="00490A24" w14:paraId="2332A603" w14:textId="77777777" w:rsidTr="002F33E9">
        <w:trPr>
          <w:trHeight w:val="20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9AA182" w14:textId="77777777" w:rsidR="002F33E9" w:rsidRPr="00490A24" w:rsidRDefault="002F33E9" w:rsidP="004C7E93">
            <w:pPr>
              <w:jc w:val="center"/>
              <w:rPr>
                <w:b/>
                <w:bCs/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</w:rPr>
              <w:t xml:space="preserve">Scoring Criteria </w:t>
            </w:r>
          </w:p>
        </w:tc>
      </w:tr>
      <w:tr w:rsidR="002F33E9" w:rsidRPr="00490A24" w14:paraId="170366B5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3E4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Responsiveness to RFP (0-</w:t>
            </w:r>
            <w:r>
              <w:rPr>
                <w:sz w:val="16"/>
                <w:szCs w:val="16"/>
              </w:rPr>
              <w:t>10</w:t>
            </w:r>
            <w:r w:rsidRPr="00490A24">
              <w:rPr>
                <w:sz w:val="16"/>
                <w:szCs w:val="16"/>
              </w:rPr>
              <w:t>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183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  <w:u w:val="single"/>
              </w:rPr>
              <w:t>Required Parameters:</w:t>
            </w:r>
            <w:r w:rsidRPr="00490A24">
              <w:rPr>
                <w:sz w:val="16"/>
                <w:szCs w:val="16"/>
              </w:rPr>
              <w:br/>
              <w:t xml:space="preserve">1. Understanding of, and responsiveness to, UNHCR requirements. </w:t>
            </w:r>
            <w:r w:rsidRPr="00490A24">
              <w:rPr>
                <w:sz w:val="16"/>
                <w:szCs w:val="16"/>
              </w:rPr>
              <w:br/>
              <w:t xml:space="preserve">2. Understanding of scope, </w:t>
            </w:r>
            <w:proofErr w:type="gramStart"/>
            <w:r w:rsidRPr="00490A24">
              <w:rPr>
                <w:sz w:val="16"/>
                <w:szCs w:val="16"/>
              </w:rPr>
              <w:t>objectives</w:t>
            </w:r>
            <w:proofErr w:type="gramEnd"/>
            <w:r w:rsidRPr="00490A24">
              <w:rPr>
                <w:sz w:val="16"/>
                <w:szCs w:val="16"/>
              </w:rPr>
              <w:t xml:space="preserve"> and completeness of response.  </w:t>
            </w:r>
            <w:r w:rsidRPr="00490A24">
              <w:rPr>
                <w:sz w:val="16"/>
                <w:szCs w:val="16"/>
              </w:rPr>
              <w:br/>
              <w:t xml:space="preserve">3. Overall concord between UNHCR requirements and the proposals. </w:t>
            </w:r>
            <w:r w:rsidRPr="00490A24">
              <w:rPr>
                <w:sz w:val="16"/>
                <w:szCs w:val="16"/>
              </w:rPr>
              <w:br/>
              <w:t>______________________________</w:t>
            </w:r>
            <w:r w:rsidRPr="00490A24">
              <w:rPr>
                <w:sz w:val="16"/>
                <w:szCs w:val="16"/>
              </w:rPr>
              <w:br/>
              <w:t xml:space="preserve">a. Full understanding of UNHCR requirements: the proposal made by the bidder is complete and is fully responsive based on above parameters = </w:t>
            </w:r>
            <w:r>
              <w:rPr>
                <w:sz w:val="16"/>
                <w:szCs w:val="16"/>
              </w:rPr>
              <w:t>10</w:t>
            </w:r>
            <w:r w:rsidRPr="00490A24">
              <w:rPr>
                <w:sz w:val="16"/>
                <w:szCs w:val="16"/>
              </w:rPr>
              <w:t xml:space="preserve"> </w:t>
            </w:r>
            <w:r w:rsidRPr="00490A24">
              <w:rPr>
                <w:sz w:val="16"/>
                <w:szCs w:val="16"/>
              </w:rPr>
              <w:br/>
              <w:t xml:space="preserve">b. </w:t>
            </w:r>
            <w:proofErr w:type="gramStart"/>
            <w:r w:rsidRPr="00490A24">
              <w:rPr>
                <w:sz w:val="16"/>
                <w:szCs w:val="16"/>
              </w:rPr>
              <w:t>To a larger extent understands</w:t>
            </w:r>
            <w:proofErr w:type="gramEnd"/>
            <w:r w:rsidRPr="00490A24">
              <w:rPr>
                <w:sz w:val="16"/>
                <w:szCs w:val="16"/>
              </w:rPr>
              <w:t xml:space="preserve"> UNHCR requirements and the proposal made by the bidder is complete and is mostly responsive based on above parameters = </w:t>
            </w:r>
            <w:r>
              <w:rPr>
                <w:sz w:val="16"/>
                <w:szCs w:val="16"/>
              </w:rPr>
              <w:t>6</w:t>
            </w:r>
            <w:r w:rsidRPr="00490A24">
              <w:rPr>
                <w:sz w:val="16"/>
                <w:szCs w:val="16"/>
              </w:rPr>
              <w:br/>
              <w:t>c. Does not understand UNHCR requirements and the proposal made by the bidder is not complete and is not responsive based on above parameters = 0</w:t>
            </w:r>
          </w:p>
        </w:tc>
      </w:tr>
      <w:tr w:rsidR="002F33E9" w:rsidRPr="00490A24" w14:paraId="61A3013C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F89B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93DC2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 10 Marks</w:t>
            </w:r>
          </w:p>
        </w:tc>
      </w:tr>
      <w:tr w:rsidR="002F33E9" w:rsidRPr="00490A24" w14:paraId="10E2F7D8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8C2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Technical approach and methodology (0-10)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BC5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  <w:u w:val="single"/>
              </w:rPr>
              <w:t>Mobilization time= 5 Marks</w:t>
            </w:r>
            <w:r w:rsidRPr="00490A24">
              <w:rPr>
                <w:sz w:val="16"/>
                <w:szCs w:val="16"/>
              </w:rPr>
              <w:br/>
              <w:t xml:space="preserve">(1- 21) Days = 5 Marks </w:t>
            </w:r>
            <w:r w:rsidRPr="00490A24">
              <w:rPr>
                <w:sz w:val="16"/>
                <w:szCs w:val="16"/>
              </w:rPr>
              <w:br/>
              <w:t>(22 - 28) Days = 4 Marks</w:t>
            </w:r>
            <w:r w:rsidRPr="00490A24">
              <w:rPr>
                <w:sz w:val="16"/>
                <w:szCs w:val="16"/>
              </w:rPr>
              <w:br/>
              <w:t>(28 - 35) Days = 2</w:t>
            </w:r>
            <w:r w:rsidRPr="00490A24">
              <w:rPr>
                <w:sz w:val="16"/>
                <w:szCs w:val="16"/>
              </w:rPr>
              <w:br/>
              <w:t xml:space="preserve">(36 and 42) Days = 1   </w:t>
            </w:r>
          </w:p>
        </w:tc>
      </w:tr>
      <w:tr w:rsidR="002F33E9" w:rsidRPr="00490A24" w14:paraId="7B6DC3E8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D5EF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211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b/>
                <w:bCs/>
                <w:sz w:val="16"/>
                <w:szCs w:val="16"/>
                <w:u w:val="single"/>
              </w:rPr>
              <w:t xml:space="preserve">Monitoring and Reporting </w:t>
            </w:r>
            <w:r w:rsidRPr="00490A24">
              <w:rPr>
                <w:sz w:val="16"/>
                <w:szCs w:val="16"/>
              </w:rPr>
              <w:br/>
              <w:t xml:space="preserve">Proposed Reporting Mechanism on weekly basis = 5 Marks </w:t>
            </w:r>
            <w:r w:rsidRPr="00490A24">
              <w:rPr>
                <w:sz w:val="16"/>
                <w:szCs w:val="16"/>
              </w:rPr>
              <w:br/>
              <w:t xml:space="preserve">Proposed Reporting Mechanism on bi-weekly basis = 3 Marks </w:t>
            </w:r>
            <w:r w:rsidRPr="00490A24">
              <w:rPr>
                <w:sz w:val="16"/>
                <w:szCs w:val="16"/>
              </w:rPr>
              <w:br/>
              <w:t xml:space="preserve">Proposed Reporting Mechanism on monthly basis = 1 Marks </w:t>
            </w:r>
          </w:p>
        </w:tc>
      </w:tr>
      <w:tr w:rsidR="002F33E9" w:rsidRPr="00490A24" w14:paraId="1C2725F7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467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CC67C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 10 Marks</w:t>
            </w:r>
          </w:p>
        </w:tc>
      </w:tr>
      <w:tr w:rsidR="002F33E9" w:rsidRPr="00490A24" w14:paraId="688D37B3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0F0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Construction Management Plan (0-10)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73F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Work Schedule Charts= 5 Marks</w:t>
            </w:r>
          </w:p>
        </w:tc>
      </w:tr>
      <w:tr w:rsidR="002F33E9" w:rsidRPr="00490A24" w14:paraId="72177342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CC23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2BA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Work Completion Time Within the 3 months= 5 Marks</w:t>
            </w:r>
          </w:p>
        </w:tc>
      </w:tr>
      <w:tr w:rsidR="002F33E9" w:rsidRPr="00490A24" w14:paraId="67BEE43E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9514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B8A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Work Completion Time Between 3 to 4 months= 3 Marks</w:t>
            </w:r>
          </w:p>
        </w:tc>
      </w:tr>
      <w:tr w:rsidR="002F33E9" w:rsidRPr="00490A24" w14:paraId="09461D32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7AF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366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Work Completion Time Over 4 months = 2 Marks</w:t>
            </w:r>
          </w:p>
        </w:tc>
      </w:tr>
      <w:tr w:rsidR="002F33E9" w:rsidRPr="00490A24" w14:paraId="6DA36DFE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22C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F225DE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 10 Marks</w:t>
            </w:r>
          </w:p>
        </w:tc>
      </w:tr>
      <w:tr w:rsidR="002F33E9" w:rsidRPr="00490A24" w14:paraId="20428647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9E4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General Experience of Firm (0-</w:t>
            </w:r>
            <w:r>
              <w:rPr>
                <w:sz w:val="16"/>
                <w:szCs w:val="16"/>
              </w:rPr>
              <w:t>15</w:t>
            </w:r>
            <w:r w:rsidRPr="00490A24">
              <w:rPr>
                <w:sz w:val="16"/>
                <w:szCs w:val="16"/>
              </w:rPr>
              <w:t>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9F8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In construction business for up to 5 years = 5 marks</w:t>
            </w:r>
          </w:p>
        </w:tc>
      </w:tr>
      <w:tr w:rsidR="002F33E9" w:rsidRPr="00490A24" w14:paraId="0AB7EDC8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1AB3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4C0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In construction business for over 5 years= 1 mark for each year up to maximum of 10 marks</w:t>
            </w:r>
          </w:p>
        </w:tc>
      </w:tr>
      <w:tr w:rsidR="002F33E9" w:rsidRPr="00490A24" w14:paraId="1F924121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D7F0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4DFA90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 10 Marks</w:t>
            </w:r>
          </w:p>
        </w:tc>
      </w:tr>
      <w:tr w:rsidR="002F33E9" w:rsidRPr="00490A24" w14:paraId="152C0700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829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Relevant Experience of Firm (0-</w:t>
            </w:r>
            <w:r>
              <w:rPr>
                <w:sz w:val="16"/>
                <w:szCs w:val="16"/>
              </w:rPr>
              <w:t>15</w:t>
            </w:r>
            <w:r w:rsidRPr="00490A24">
              <w:rPr>
                <w:sz w:val="16"/>
                <w:szCs w:val="16"/>
              </w:rPr>
              <w:t>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713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 projects undertaken</w:t>
            </w:r>
            <w:r w:rsidRPr="00490A24">
              <w:rPr>
                <w:sz w:val="16"/>
                <w:szCs w:val="16"/>
              </w:rPr>
              <w:br/>
              <w:t>(One mark for each project up to maximum</w:t>
            </w:r>
            <w:r>
              <w:rPr>
                <w:sz w:val="16"/>
                <w:szCs w:val="16"/>
              </w:rPr>
              <w:t>-</w:t>
            </w:r>
            <w:r w:rsidRPr="00490A24">
              <w:rPr>
                <w:sz w:val="16"/>
                <w:szCs w:val="16"/>
              </w:rPr>
              <w:t xml:space="preserve"> 10 marks)</w:t>
            </w:r>
          </w:p>
        </w:tc>
      </w:tr>
      <w:tr w:rsidR="002F33E9" w:rsidRPr="00490A24" w14:paraId="3D8BBE10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4F55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2E5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No. of Similar projects undertaken (up to 2 projects = 0</w:t>
            </w:r>
            <w:r>
              <w:rPr>
                <w:sz w:val="16"/>
                <w:szCs w:val="16"/>
              </w:rPr>
              <w:t>3</w:t>
            </w:r>
            <w:r w:rsidRPr="00490A24">
              <w:rPr>
                <w:sz w:val="16"/>
                <w:szCs w:val="16"/>
              </w:rPr>
              <w:t xml:space="preserve"> marks, Over 2 projects=</w:t>
            </w:r>
            <w:r>
              <w:rPr>
                <w:sz w:val="16"/>
                <w:szCs w:val="16"/>
              </w:rPr>
              <w:t xml:space="preserve"> </w:t>
            </w:r>
            <w:r w:rsidRPr="00490A2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490A24">
              <w:rPr>
                <w:sz w:val="16"/>
                <w:szCs w:val="16"/>
              </w:rPr>
              <w:t xml:space="preserve"> marks</w:t>
            </w:r>
          </w:p>
        </w:tc>
      </w:tr>
      <w:tr w:rsidR="002F33E9" w:rsidRPr="00490A24" w14:paraId="4EB531E6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19B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6CB052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Total= </w:t>
            </w:r>
            <w:r>
              <w:rPr>
                <w:sz w:val="16"/>
                <w:szCs w:val="16"/>
              </w:rPr>
              <w:t>15</w:t>
            </w:r>
            <w:r w:rsidRPr="00490A24">
              <w:rPr>
                <w:sz w:val="16"/>
                <w:szCs w:val="16"/>
              </w:rPr>
              <w:t xml:space="preserve"> Marks</w:t>
            </w:r>
          </w:p>
        </w:tc>
      </w:tr>
      <w:tr w:rsidR="002F33E9" w:rsidRPr="00490A24" w14:paraId="3374618E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4FD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Resident Engineer (Buildings 1 No. (0-15)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EFC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proofErr w:type="spellStart"/>
            <w:r w:rsidRPr="00490A24">
              <w:rPr>
                <w:sz w:val="16"/>
                <w:szCs w:val="16"/>
              </w:rPr>
              <w:t>Bsc</w:t>
            </w:r>
            <w:proofErr w:type="spellEnd"/>
            <w:r w:rsidRPr="00490A24">
              <w:rPr>
                <w:sz w:val="16"/>
                <w:szCs w:val="16"/>
              </w:rPr>
              <w:t xml:space="preserve"> Eng. + 5 years= 13 Marks</w:t>
            </w:r>
          </w:p>
        </w:tc>
      </w:tr>
      <w:tr w:rsidR="002F33E9" w:rsidRPr="00490A24" w14:paraId="7F3F4446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4D6B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AA1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proofErr w:type="spellStart"/>
            <w:r w:rsidRPr="00490A24">
              <w:rPr>
                <w:sz w:val="16"/>
                <w:szCs w:val="16"/>
              </w:rPr>
              <w:t>Msc</w:t>
            </w:r>
            <w:proofErr w:type="spellEnd"/>
            <w:r w:rsidRPr="00490A24">
              <w:rPr>
                <w:sz w:val="16"/>
                <w:szCs w:val="16"/>
              </w:rPr>
              <w:t xml:space="preserve"> Eng. + 2 years=13 Marks</w:t>
            </w:r>
          </w:p>
        </w:tc>
      </w:tr>
      <w:tr w:rsidR="002F33E9" w:rsidRPr="00490A24" w14:paraId="3919F806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1DB4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800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Additional years of experience </w:t>
            </w:r>
            <w:r>
              <w:rPr>
                <w:sz w:val="16"/>
                <w:szCs w:val="16"/>
              </w:rPr>
              <w:t xml:space="preserve">= </w:t>
            </w:r>
            <w:r w:rsidRPr="00490A24">
              <w:rPr>
                <w:sz w:val="16"/>
                <w:szCs w:val="16"/>
              </w:rPr>
              <w:t>2 Mark</w:t>
            </w:r>
            <w:r>
              <w:rPr>
                <w:sz w:val="16"/>
                <w:szCs w:val="16"/>
              </w:rPr>
              <w:t>s</w:t>
            </w:r>
          </w:p>
        </w:tc>
      </w:tr>
      <w:tr w:rsidR="002F33E9" w:rsidRPr="00490A24" w14:paraId="2D47323D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D7B8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C8A02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Total=15 Marks</w:t>
            </w:r>
          </w:p>
        </w:tc>
      </w:tr>
      <w:tr w:rsidR="002F33E9" w:rsidRPr="00490A24" w14:paraId="31630A4E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AE4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Asst. Resident Engineer (Buildings/Structure) 1 No. (0-10)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74F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proofErr w:type="spellStart"/>
            <w:r w:rsidRPr="00490A24">
              <w:rPr>
                <w:sz w:val="16"/>
                <w:szCs w:val="16"/>
              </w:rPr>
              <w:t>Bsc</w:t>
            </w:r>
            <w:proofErr w:type="spellEnd"/>
            <w:r w:rsidRPr="00490A24">
              <w:rPr>
                <w:sz w:val="16"/>
                <w:szCs w:val="16"/>
              </w:rPr>
              <w:t xml:space="preserve"> Eng. +3 years= 8 Marks</w:t>
            </w:r>
          </w:p>
        </w:tc>
      </w:tr>
      <w:tr w:rsidR="002F33E9" w:rsidRPr="00490A24" w14:paraId="6ECE86A8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2C8D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B5F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proofErr w:type="spellStart"/>
            <w:r w:rsidRPr="00490A24">
              <w:rPr>
                <w:sz w:val="16"/>
                <w:szCs w:val="16"/>
              </w:rPr>
              <w:t>Msc</w:t>
            </w:r>
            <w:proofErr w:type="spellEnd"/>
            <w:r w:rsidRPr="00490A24">
              <w:rPr>
                <w:sz w:val="16"/>
                <w:szCs w:val="16"/>
              </w:rPr>
              <w:t xml:space="preserve"> Eng. + 1 years=8 Marks</w:t>
            </w:r>
          </w:p>
        </w:tc>
      </w:tr>
      <w:tr w:rsidR="002F33E9" w:rsidRPr="00490A24" w14:paraId="137DE8DA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1A6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F1A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Additional years of experience</w:t>
            </w:r>
            <w:r>
              <w:rPr>
                <w:sz w:val="16"/>
                <w:szCs w:val="16"/>
              </w:rPr>
              <w:t xml:space="preserve"> =</w:t>
            </w:r>
            <w:r w:rsidRPr="00490A24">
              <w:rPr>
                <w:sz w:val="16"/>
                <w:szCs w:val="16"/>
              </w:rPr>
              <w:t xml:space="preserve"> 2 Mark</w:t>
            </w:r>
          </w:p>
        </w:tc>
      </w:tr>
      <w:tr w:rsidR="002F33E9" w:rsidRPr="00490A24" w14:paraId="143E5EE6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3B5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D0FA8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Total=10 Marks</w:t>
            </w:r>
          </w:p>
        </w:tc>
      </w:tr>
      <w:tr w:rsidR="002F33E9" w:rsidRPr="00490A24" w14:paraId="4E180BF6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03E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Quantity Surveyors- 1 No. (0-5) marks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754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Diploma + 2 years=3 Marks</w:t>
            </w:r>
          </w:p>
        </w:tc>
      </w:tr>
      <w:tr w:rsidR="002F33E9" w:rsidRPr="00490A24" w14:paraId="589EE76B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A9EC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623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Diploma + 5 years or </w:t>
            </w:r>
            <w:proofErr w:type="spellStart"/>
            <w:r w:rsidRPr="00490A24">
              <w:rPr>
                <w:sz w:val="16"/>
                <w:szCs w:val="16"/>
              </w:rPr>
              <w:t>Bsc</w:t>
            </w:r>
            <w:proofErr w:type="spellEnd"/>
            <w:r w:rsidRPr="00490A24">
              <w:rPr>
                <w:sz w:val="16"/>
                <w:szCs w:val="16"/>
              </w:rPr>
              <w:t>=4 Marks</w:t>
            </w:r>
          </w:p>
        </w:tc>
      </w:tr>
      <w:tr w:rsidR="002F33E9" w:rsidRPr="00490A24" w14:paraId="06B9B36B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D161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A73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 xml:space="preserve">Additional years of experience </w:t>
            </w:r>
            <w:r>
              <w:rPr>
                <w:sz w:val="16"/>
                <w:szCs w:val="16"/>
              </w:rPr>
              <w:t>=</w:t>
            </w:r>
            <w:r w:rsidRPr="00490A24">
              <w:rPr>
                <w:sz w:val="16"/>
                <w:szCs w:val="16"/>
              </w:rPr>
              <w:t>1 Mark</w:t>
            </w:r>
          </w:p>
        </w:tc>
      </w:tr>
      <w:tr w:rsidR="002F33E9" w:rsidRPr="00490A24" w14:paraId="799FB0B1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CA3E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6F731C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Total=05 Marks</w:t>
            </w:r>
          </w:p>
        </w:tc>
      </w:tr>
      <w:tr w:rsidR="002F33E9" w:rsidRPr="00490A24" w14:paraId="3C1835DE" w14:textId="77777777" w:rsidTr="002F33E9">
        <w:trPr>
          <w:trHeight w:val="20"/>
        </w:trPr>
        <w:tc>
          <w:tcPr>
            <w:tcW w:w="477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6FD" w14:textId="66928880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Annual Turn over- (0-1</w:t>
            </w:r>
            <w:r>
              <w:rPr>
                <w:sz w:val="16"/>
                <w:szCs w:val="16"/>
              </w:rPr>
              <w:t>5</w:t>
            </w:r>
            <w:r w:rsidRPr="00490A24">
              <w:rPr>
                <w:sz w:val="16"/>
                <w:szCs w:val="16"/>
              </w:rPr>
              <w:t xml:space="preserve">) </w:t>
            </w:r>
            <w:r w:rsidRPr="00490A24">
              <w:rPr>
                <w:sz w:val="16"/>
                <w:szCs w:val="16"/>
              </w:rPr>
              <w:br/>
              <w:t xml:space="preserve">(within pervious five year)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F4F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Annual turnover up to USD 100,000 = 5 marks</w:t>
            </w:r>
          </w:p>
        </w:tc>
      </w:tr>
      <w:tr w:rsidR="002F33E9" w:rsidRPr="00490A24" w14:paraId="3C9C9D00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5A05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985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Annual turnover up to USD 150,000 = 10 marks</w:t>
            </w:r>
          </w:p>
        </w:tc>
      </w:tr>
      <w:tr w:rsidR="002F33E9" w:rsidRPr="00490A24" w14:paraId="48AC138F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E23D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4D0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Annual turnover up to USD 200,000 or above= 15 marks</w:t>
            </w:r>
          </w:p>
        </w:tc>
      </w:tr>
      <w:tr w:rsidR="002F33E9" w:rsidRPr="00490A24" w14:paraId="7806C2CB" w14:textId="77777777" w:rsidTr="002F33E9">
        <w:trPr>
          <w:trHeight w:val="20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202E" w14:textId="77777777" w:rsidR="002F33E9" w:rsidRPr="00490A24" w:rsidRDefault="002F33E9" w:rsidP="004C7E93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1A4646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Total=15 Marks</w:t>
            </w:r>
          </w:p>
        </w:tc>
      </w:tr>
      <w:tr w:rsidR="002F33E9" w:rsidRPr="00490A24" w14:paraId="5F788720" w14:textId="77777777" w:rsidTr="002F33E9">
        <w:trPr>
          <w:trHeight w:val="2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6BDE02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Total Marks (100)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30BABB" w14:textId="77777777" w:rsidR="002F33E9" w:rsidRPr="00490A24" w:rsidRDefault="002F33E9" w:rsidP="004C7E93">
            <w:pPr>
              <w:rPr>
                <w:sz w:val="16"/>
                <w:szCs w:val="16"/>
              </w:rPr>
            </w:pPr>
            <w:r w:rsidRPr="00490A24">
              <w:rPr>
                <w:sz w:val="16"/>
                <w:szCs w:val="16"/>
              </w:rPr>
              <w:t> </w:t>
            </w:r>
          </w:p>
        </w:tc>
      </w:tr>
    </w:tbl>
    <w:p w14:paraId="2EAEE217" w14:textId="77777777" w:rsidR="00024EA0" w:rsidRDefault="00024EA0"/>
    <w:sectPr w:rsidR="00024E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E3E4D" w14:textId="77777777" w:rsidR="002F33E9" w:rsidRDefault="002F33E9" w:rsidP="002F33E9">
      <w:r>
        <w:separator/>
      </w:r>
    </w:p>
  </w:endnote>
  <w:endnote w:type="continuationSeparator" w:id="0">
    <w:p w14:paraId="3F0B172B" w14:textId="77777777" w:rsidR="002F33E9" w:rsidRDefault="002F33E9" w:rsidP="002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4908" w14:textId="77777777" w:rsidR="002F33E9" w:rsidRDefault="002F33E9" w:rsidP="002F33E9">
      <w:r>
        <w:separator/>
      </w:r>
    </w:p>
  </w:footnote>
  <w:footnote w:type="continuationSeparator" w:id="0">
    <w:p w14:paraId="41157E94" w14:textId="77777777" w:rsidR="002F33E9" w:rsidRDefault="002F33E9" w:rsidP="002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9186" w14:textId="02662CEB" w:rsidR="002F33E9" w:rsidRPr="002F33E9" w:rsidRDefault="002F33E9" w:rsidP="002F33E9">
    <w:pPr>
      <w:pStyle w:val="Header"/>
      <w:jc w:val="center"/>
      <w:rPr>
        <w:b/>
        <w:bCs/>
        <w:sz w:val="22"/>
        <w:szCs w:val="22"/>
      </w:rPr>
    </w:pPr>
    <w:r w:rsidRPr="002F33E9">
      <w:rPr>
        <w:b/>
        <w:bCs/>
        <w:sz w:val="22"/>
        <w:szCs w:val="22"/>
      </w:rPr>
      <w:t xml:space="preserve">Annex </w:t>
    </w:r>
    <w:r w:rsidRPr="002F33E9">
      <w:rPr>
        <w:b/>
        <w:bCs/>
        <w:sz w:val="22"/>
        <w:szCs w:val="22"/>
      </w:rPr>
      <w:t>D</w:t>
    </w:r>
    <w:r w:rsidRPr="002F33E9">
      <w:rPr>
        <w:b/>
        <w:bCs/>
        <w:sz w:val="22"/>
        <w:szCs w:val="22"/>
      </w:rPr>
      <w:t xml:space="preserve"> </w:t>
    </w:r>
    <w:r w:rsidRPr="002F33E9">
      <w:rPr>
        <w:b/>
        <w:bCs/>
        <w:sz w:val="22"/>
        <w:szCs w:val="22"/>
      </w:rPr>
      <w:t>–</w:t>
    </w:r>
    <w:r w:rsidRPr="002F33E9">
      <w:rPr>
        <w:b/>
        <w:bCs/>
        <w:sz w:val="22"/>
        <w:szCs w:val="22"/>
      </w:rPr>
      <w:t xml:space="preserve"> </w:t>
    </w:r>
    <w:r w:rsidRPr="002F33E9">
      <w:rPr>
        <w:b/>
        <w:bCs/>
        <w:sz w:val="22"/>
        <w:szCs w:val="22"/>
      </w:rPr>
      <w:t>Technical Evaluation Criteria</w:t>
    </w:r>
  </w:p>
  <w:p w14:paraId="73C6B059" w14:textId="77777777" w:rsidR="002F33E9" w:rsidRPr="002F33E9" w:rsidRDefault="002F33E9" w:rsidP="002F33E9">
    <w:pPr>
      <w:pStyle w:val="Header"/>
      <w:jc w:val="center"/>
      <w:rPr>
        <w:b/>
        <w:bCs/>
        <w:sz w:val="22"/>
        <w:szCs w:val="22"/>
      </w:rPr>
    </w:pPr>
    <w:r w:rsidRPr="002F33E9">
      <w:rPr>
        <w:b/>
        <w:bCs/>
        <w:sz w:val="22"/>
        <w:szCs w:val="22"/>
      </w:rPr>
      <w:t>REQUEST FOR PROPOSAL: RFP/HCR/ROK/2021/032</w:t>
    </w:r>
  </w:p>
  <w:p w14:paraId="5E84F19E" w14:textId="28682B0A" w:rsidR="002F33E9" w:rsidRPr="002F33E9" w:rsidRDefault="002F33E9" w:rsidP="002F33E9">
    <w:pPr>
      <w:pStyle w:val="Header"/>
      <w:rPr>
        <w:b/>
        <w:bCs/>
        <w:sz w:val="22"/>
        <w:szCs w:val="22"/>
      </w:rPr>
    </w:pPr>
    <w:r w:rsidRPr="002F33E9">
      <w:rPr>
        <w:b/>
        <w:bCs/>
        <w:sz w:val="22"/>
        <w:szCs w:val="22"/>
      </w:rPr>
      <w:t>FOR REFURBISHMENT OF SHIPPING CONTAINERS FOR UNHCR SUDAN 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B"/>
    <w:rsid w:val="00024EA0"/>
    <w:rsid w:val="002F33E9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F2FD"/>
  <w15:chartTrackingRefBased/>
  <w15:docId w15:val="{DF6C99CE-6ACC-4C36-83F1-0B26B9C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Khalil</dc:creator>
  <cp:keywords/>
  <dc:description/>
  <cp:lastModifiedBy>Sarra Khalil</cp:lastModifiedBy>
  <cp:revision>2</cp:revision>
  <dcterms:created xsi:type="dcterms:W3CDTF">2021-11-18T12:45:00Z</dcterms:created>
  <dcterms:modified xsi:type="dcterms:W3CDTF">2021-11-18T12:48:00Z</dcterms:modified>
</cp:coreProperties>
</file>